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right"/>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Pietro Giacomo Rusconi, Villa Ghigi, per l’Innovazione Urbana</w:t>
      </w:r>
    </w:p>
    <w:p w:rsidR="00000000" w:rsidDel="00000000" w:rsidP="00000000" w:rsidRDefault="00000000" w:rsidRPr="00000000" w14:paraId="00000003">
      <w:pPr>
        <w:spacing w:after="0" w:line="24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 xml:space="preserve">Via Giuseppe Petroni, 9 – 40126 Bologna</w:t>
      </w:r>
    </w:p>
    <w:p w:rsidR="00000000" w:rsidDel="00000000" w:rsidP="00000000" w:rsidRDefault="00000000" w:rsidRPr="00000000" w14:paraId="00000004">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esperti/e cui conferire di n. 5 incarichi di natura professionale nell’ambito del progetto BO4.4.11.1.d “Azioni integrate per l’infanzia e l’adolescenza” </w:t>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Programma Nazionale Città Metropolitane e città medie sud 2021-2027</w:t>
      </w:r>
    </w:p>
    <w:p w:rsidR="00000000" w:rsidDel="00000000" w:rsidP="00000000" w:rsidRDefault="00000000" w:rsidRPr="00000000" w14:paraId="0000000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Priorità 4 - Servizi per l'inclusione e l'innovazione sociale</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Azione 4.4.11 Rafforzamento della rete dei servizi del territorio</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Progetto BO4.4.11.1.d Azioni integrate per l’infanzia e l’adolescenza</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(CCL/2024/AP-1)</w:t>
      </w:r>
    </w:p>
    <w:p w:rsidR="00000000" w:rsidDel="00000000" w:rsidP="00000000" w:rsidRDefault="00000000" w:rsidRPr="00000000" w14:paraId="0000000D">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0F">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10">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11">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2">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13">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14">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15">
      <w:pPr>
        <w:tabs>
          <w:tab w:val="right" w:leader="none"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6">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w:t>
      </w:r>
      <w:r w:rsidDel="00000000" w:rsidR="00000000" w:rsidRPr="00000000">
        <w:rPr>
          <w:rFonts w:ascii="Arial" w:cs="Arial" w:eastAsia="Arial" w:hAnsi="Arial"/>
          <w:sz w:val="20"/>
          <w:szCs w:val="20"/>
          <w:rtl w:val="0"/>
        </w:rPr>
        <w:t xml:space="preserve">Fondazione Pietro Giacomo Rusconi, Villa Ghigi, per l’Innovazione Urbana</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7">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8">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9">
      <w:pPr>
        <w:numPr>
          <w:ilvl w:val="0"/>
          <w:numId w:val="1"/>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2024/EDU - MST</w:t>
      </w:r>
    </w:p>
    <w:p w:rsidR="00000000" w:rsidDel="00000000" w:rsidP="00000000" w:rsidRDefault="00000000" w:rsidRPr="00000000" w14:paraId="0000001A">
      <w:pPr>
        <w:numPr>
          <w:ilvl w:val="0"/>
          <w:numId w:val="1"/>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2024/EDU - AMM</w:t>
      </w:r>
    </w:p>
    <w:p w:rsidR="00000000" w:rsidDel="00000000" w:rsidP="00000000" w:rsidRDefault="00000000" w:rsidRPr="00000000" w14:paraId="0000001B">
      <w:pPr>
        <w:numPr>
          <w:ilvl w:val="0"/>
          <w:numId w:val="1"/>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2024/EDU - PMJ</w:t>
      </w:r>
    </w:p>
    <w:p w:rsidR="00000000" w:rsidDel="00000000" w:rsidP="00000000" w:rsidRDefault="00000000" w:rsidRPr="00000000" w14:paraId="0000001C">
      <w:pPr>
        <w:numPr>
          <w:ilvl w:val="0"/>
          <w:numId w:val="1"/>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2024/EDU - CMU</w:t>
      </w:r>
    </w:p>
    <w:p w:rsidR="00000000" w:rsidDel="00000000" w:rsidP="00000000" w:rsidRDefault="00000000" w:rsidRPr="00000000" w14:paraId="0000001D">
      <w:pPr>
        <w:numPr>
          <w:ilvl w:val="0"/>
          <w:numId w:val="1"/>
        </w:numPr>
        <w:spacing w:after="200" w:line="276"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2024/EDU - CMA</w:t>
      </w:r>
    </w:p>
    <w:p w:rsidR="00000000" w:rsidDel="00000000" w:rsidP="00000000" w:rsidRDefault="00000000" w:rsidRPr="00000000" w14:paraId="0000001E">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F">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20">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3">
      <w:pPr>
        <w:numPr>
          <w:ilvl w:val="0"/>
          <w:numId w:val="5"/>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24">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1"/>
          <w:numId w:val="2"/>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26">
      <w:pPr>
        <w:numPr>
          <w:ilvl w:val="1"/>
          <w:numId w:val="2"/>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27">
      <w:pPr>
        <w:numPr>
          <w:ilvl w:val="1"/>
          <w:numId w:val="2"/>
        </w:numPr>
        <w:tabs>
          <w:tab w:val="right" w:leader="none"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28">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29">
      <w:pPr>
        <w:numPr>
          <w:ilvl w:val="0"/>
          <w:numId w:val="4"/>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A">
      <w:pPr>
        <w:numPr>
          <w:ilvl w:val="0"/>
          <w:numId w:val="4"/>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B">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D">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tabs>
          <w:tab w:val="left" w:leader="none"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F">
      <w:pPr>
        <w:tabs>
          <w:tab w:val="left" w:leader="none"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30">
      <w:pPr>
        <w:tabs>
          <w:tab w:val="left" w:leader="none"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tabs>
          <w:tab w:val="right" w:leader="none" w:pos="9636"/>
          <w:tab w:val="right" w:leader="none"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after="0" w:line="276" w:lineRule="auto"/>
      <w:jc w:val="both"/>
      <w:rPr>
        <w:rFonts w:ascii="Times New Roman" w:cs="Times New Roman" w:eastAsia="Times New Roman" w:hAnsi="Times New Roman"/>
        <w:color w:val="666666"/>
        <w:sz w:val="20"/>
        <w:szCs w:val="20"/>
      </w:rPr>
    </w:pPr>
    <w:r w:rsidDel="00000000" w:rsidR="00000000" w:rsidRPr="00000000">
      <w:rPr>
        <w:rFonts w:ascii="Arial" w:cs="Arial" w:eastAsia="Arial" w:hAnsi="Arial"/>
        <w:sz w:val="24"/>
        <w:szCs w:val="24"/>
      </w:rPr>
      <w:drawing>
        <wp:inline distB="114300" distT="114300" distL="114300" distR="114300">
          <wp:extent cx="5731200" cy="482600"/>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tabs>
        <w:tab w:val="right" w:leader="none" w:pos="9636.141732283466"/>
        <w:tab w:val="right" w:leader="none" w:pos="9638"/>
      </w:tabs>
      <w:spacing w:after="0" w:line="240" w:lineRule="auto"/>
      <w:ind w:right="-7"/>
      <w:jc w:val="both"/>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CCL/2024/AP-1</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7">
    <w:pPr>
      <w:spacing w:after="200" w:line="276" w:lineRule="auto"/>
      <w:ind w:right="-40.8661417322827"/>
      <w:jc w:val="righ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CUP F39B23000140006</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bD926loX+n82Cd2XkSz8ddWtA==">CgMxLjAyCGguZ2pkZ3hzOAByITFXZFMyWlZuS1ZiUnlycEx1RmRCTk4wZlNVMFJrSmlTaA==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