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selezione pubblica, mediante procedura comparativa per l’individuazione di esperti/e cui conferire   n. 2  incarichi di natura professionale nell’ambito della strategia territoriale “Agende trasformative urbane per lo sviluppo sostenibile” (ATUSS) in attuazione dell’obiettivo specifico 1.2 - azione 1.2.4 - Per la realizzazione del progetto “Laboratori Aperti”.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 FESR EMILIA-ROMAGNA 2021-2027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1 Ricerca, innovazione e competitività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Obiettivo Specifico 1.2 “Permettere ai cittadini, alle imprese, alle organizzazioni di ricerca e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alle autorità pubbliche di cogliere i vantaggi della digitalizzazione”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1.2.4. “Sostegno a spazi e progetti per le comunità digitali, anche con il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coinvolgimento del Terzo Settore”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(CCL/2024/AP-3)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2024/LAB-CGR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2024/LAB-GPC</w:t>
      </w:r>
    </w:p>
    <w:p w:rsidR="00000000" w:rsidDel="00000000" w:rsidP="00000000" w:rsidRDefault="00000000" w:rsidRPr="00000000" w14:paraId="00000027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9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B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D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5731200" cy="406400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06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6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CCL/2024/AP-3 </w:t>
    </w:r>
  </w:p>
  <w:p w:rsidR="00000000" w:rsidDel="00000000" w:rsidP="00000000" w:rsidRDefault="00000000" w:rsidRPr="00000000" w14:paraId="00000038">
    <w:pPr>
      <w:spacing w:after="200" w:line="276" w:lineRule="auto"/>
      <w:ind w:right="-40.8661417322827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F39I23000680002</w:t>
    </w:r>
  </w:p>
  <w:p w:rsidR="00000000" w:rsidDel="00000000" w:rsidP="00000000" w:rsidRDefault="00000000" w:rsidRPr="00000000" w14:paraId="00000039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qZM4B0EVuqisWkh6iiOnfnrTSw==">CgMxLjAyCGguZ2pkZ3hzOAByITFZZWlQR183Q3U3eG5lcm9VbjdEZHBaV1JqNmtHQ1RGZg==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