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n. 1 esperto/a cui conferire incarico di lavoro autonomo (avviso pubblico CCL/2022/AP-2)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 </w:t>
        <w:tab/>
        <w:t xml:space="preserve">il 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 </w:t>
        <w:tab/>
        <w:t xml:space="preserve">il ____________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 per il/i seguente/i profilo/i: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2022/ADIG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D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1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</w:p>
  <w:p w:rsidR="00000000" w:rsidDel="00000000" w:rsidP="00000000" w:rsidRDefault="00000000" w:rsidRPr="00000000" w14:paraId="0000002A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CCL/2022/AP-2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fK+8T2Ftw8t+h1dJ5N4JP9Yow==">AMUW2mWyrwTQTdW9o6Y/ydKMdPTHsjD/fLSzlLgB2TH6d+UlmUP+1qJu5/x/JBrj02gDqicpbeKdMqVMqMCl5skLgoT/KMkNYSFpN3Urlf4TWrDPBLzHnAs4SSi8+XOuZRHJeM0sJTh3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