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120" w:line="276" w:lineRule="auto"/>
        <w:jc w:val="center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DOCUMENTO DI ATTESTAZIONE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240" w:line="276" w:lineRule="auto"/>
        <w:jc w:val="center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Il Revisore Unico</w:t>
        <w:br w:type="textWrapping"/>
        <w:t xml:space="preserve">in qualità di organo di controllo che svolge funzioni analoghe agli OIV</w:t>
      </w:r>
    </w:p>
    <w:p w:rsidR="00000000" w:rsidDel="00000000" w:rsidP="00000000" w:rsidRDefault="00000000" w:rsidRPr="00000000" w14:paraId="00000003">
      <w:pPr>
        <w:spacing w:after="200" w:before="120" w:line="276" w:lineRule="auto"/>
        <w:jc w:val="left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200" w:before="120" w:line="276" w:lineRule="auto"/>
        <w:ind w:left="717" w:right="0" w:hanging="360"/>
        <w:jc w:val="both"/>
        <w:rPr>
          <w:rFonts w:ascii="Titillium" w:cs="Titillium" w:eastAsia="Titillium" w:hAnsi="Titillium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L’Organismo o il soggetto con funzioni analoghe all’OIV individuato presso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la Fondazione per l’Innovazione Urbana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ha effettuato, alla luce delle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delibere ANAC n. 1134/2017 e n. 201/2022,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verifica sulla pubblicazione, sulla completezza, sull’aggiornamento e sull’apertura del formato di ciascun documento, dato ed informazione elencati nell’Allegato 2.2 – Griglia di rilevazione al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31 maggio 2022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della delibera n. 201/2022.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200" w:before="120" w:line="276" w:lineRule="auto"/>
        <w:ind w:left="717" w:right="0" w:hanging="36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Il Revisore Unico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ha svolto gli accertamenti: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200" w:before="120" w:line="276" w:lineRule="auto"/>
        <w:ind w:left="717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tenendo anche conto dei risultati e degli elementi emersi dall’attività di controllo sull’assolvimento degli obblighi di pubblicazione svolta dal Responsabile della prevenzione della corruzione e della trasparenza ai sensi dell’art. 43, co. 1, del d.lgs. n. 33/2013;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36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Sulla base di quanto sopra,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il Revisore Unico, organo di controllo che svolge funzioni analoghe agli OIV,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120" w:line="276" w:lineRule="auto"/>
        <w:jc w:val="center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ATTESTA CHE</w: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720" w:right="0" w:hanging="360"/>
        <w:jc w:val="both"/>
        <w:rPr>
          <w:rFonts w:ascii="Roboto" w:cs="Roboto" w:eastAsia="Roboto" w:hAnsi="Roboto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L’Ente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ha individuato misure organizzative che assicurano il regolare funzionamento dei flussi informativi per la pubblicazione dei dati nella sezione “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Fondazione trasparente</w:t>
      </w:r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”;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’E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nte ha individuato nella sezione Trasparenza del PTPCT i responsabili della trasmissione e della pubblicazione dei documenti, delle informazioni e dei dati ai sensi dell’art. 10 del d.lgs. 33/2013;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720" w:right="0" w:hanging="36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L’Ente NON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ha disposto filtri e/o altre soluzioni tecniche atte ad impedire ai motori di ricerca </w:t>
      </w:r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web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indicizzare ed effettuare ricerche all’interno della sezione “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Fondazione trasparente</w:t>
      </w:r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salvo le ipotesi consentite dalla normativa vigente;</w:t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388" w:right="0" w:firstLine="0"/>
        <w:jc w:val="center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388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veridicità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l’attendibilità, alla data dell’attestazione, di quanto riportato nell’Allegato 2.2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rispetto a quanto pubblicato sul sito della società/ente.</w:t>
      </w:r>
    </w:p>
    <w:p w:rsidR="00000000" w:rsidDel="00000000" w:rsidP="00000000" w:rsidRDefault="00000000" w:rsidRPr="00000000" w14:paraId="0000000E">
      <w:pPr>
        <w:widowControl w:val="1"/>
        <w:spacing w:after="200" w:line="276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120" w:lineRule="auto"/>
        <w:jc w:val="lef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Bologna, 31 maggio 2022</w:t>
      </w:r>
    </w:p>
    <w:p w:rsidR="00000000" w:rsidDel="00000000" w:rsidP="00000000" w:rsidRDefault="00000000" w:rsidRPr="00000000" w14:paraId="00000010">
      <w:pPr>
        <w:spacing w:after="0" w:before="120" w:lineRule="auto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Il Revisore Unico</w:t>
        <w:br w:type="textWrapping"/>
        <w:t xml:space="preserve">Dott. Paolo Diegoli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.3228346456694" w:top="1417.3228346456694" w:left="1417.3228346456694" w:right="1417.322834645669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tillium"/>
  <w:font w:name="Garamon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widowControl w:val="1"/>
      <w:tabs>
        <w:tab w:val="left" w:pos="5661.141732283466"/>
      </w:tabs>
      <w:spacing w:after="0" w:lineRule="auto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widowControl w:val="1"/>
      <w:tabs>
        <w:tab w:val="left" w:pos="5661.141732283466"/>
      </w:tabs>
      <w:spacing w:after="0" w:lineRule="auto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widowControl w:val="1"/>
      <w:tabs>
        <w:tab w:val="right" w:pos="9636.141732283466"/>
      </w:tabs>
      <w:spacing w:after="0" w:lineRule="auto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Fonts w:ascii="Roboto" w:cs="Roboto" w:eastAsia="Roboto" w:hAnsi="Roboto"/>
        <w:b w:val="1"/>
        <w:color w:val="e6002d"/>
        <w:sz w:val="16"/>
        <w:szCs w:val="16"/>
        <w:rtl w:val="0"/>
      </w:rPr>
      <w:t xml:space="preserve">Fondazione per l’Innovazione Urbana</w:t>
    </w:r>
    <w:r w:rsidDel="00000000" w:rsidR="00000000" w:rsidRPr="00000000">
      <w:rPr>
        <w:rFonts w:ascii="Roboto" w:cs="Roboto" w:eastAsia="Roboto" w:hAnsi="Roboto"/>
        <w:b w:val="1"/>
        <w:sz w:val="16"/>
        <w:szCs w:val="16"/>
        <w:rtl w:val="0"/>
      </w:rPr>
      <w:tab/>
    </w:r>
  </w:p>
  <w:p w:rsidR="00000000" w:rsidDel="00000000" w:rsidP="00000000" w:rsidRDefault="00000000" w:rsidRPr="00000000" w14:paraId="00000018">
    <w:pPr>
      <w:keepNext w:val="0"/>
      <w:widowControl w:val="1"/>
      <w:tabs>
        <w:tab w:val="right" w:pos="9636.141732283466"/>
      </w:tabs>
      <w:spacing w:after="0" w:lineRule="auto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 xml:space="preserve">Piazza Maggiore, 6 – 40124 Bologna  |  C.F. 91228470372  |  P.IVA 02361731207</w:t>
      <w:tab/>
    </w:r>
    <w:r w:rsidDel="00000000" w:rsidR="00000000" w:rsidRPr="00000000">
      <w:rPr>
        <w:rFonts w:ascii="Roboto" w:cs="Roboto" w:eastAsia="Roboto" w:hAnsi="Roboto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 xml:space="preserve"> di </w:t>
    </w:r>
    <w:r w:rsidDel="00000000" w:rsidR="00000000" w:rsidRPr="00000000">
      <w:rPr>
        <w:rFonts w:ascii="Roboto" w:cs="Roboto" w:eastAsia="Roboto" w:hAnsi="Roboto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widowControl w:val="1"/>
      <w:tabs>
        <w:tab w:val="right" w:pos="9636.141732283466"/>
      </w:tabs>
      <w:spacing w:after="0" w:lineRule="auto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concetto di veridicità è inteso qui come conformità tra quanto rilevato dall’OIV/altro organismo con funzioni analoghe nell’Allegato 2.2 e quanto pubblicato sul sito istituzionale al momento dell’attestazione.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tabs>
        <w:tab w:val="center" w:pos="4819"/>
        <w:tab w:val="right" w:pos="9638"/>
      </w:tabs>
      <w:spacing w:after="0" w:lineRule="auto"/>
      <w:jc w:val="left"/>
      <w:rPr>
        <w:rFonts w:ascii="Garamond" w:cs="Garamond" w:eastAsia="Garamond" w:hAnsi="Garamond"/>
        <w:b w:val="1"/>
      </w:rPr>
    </w:pPr>
    <w:r w:rsidDel="00000000" w:rsidR="00000000" w:rsidRPr="00000000">
      <w:rPr>
        <w:rFonts w:ascii="Roboto" w:cs="Roboto" w:eastAsia="Roboto" w:hAnsi="Roboto"/>
        <w:sz w:val="18"/>
        <w:szCs w:val="18"/>
      </w:rPr>
      <w:drawing>
        <wp:inline distB="0" distT="0" distL="0" distR="0">
          <wp:extent cx="5687595" cy="6048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284" l="0" r="11043" t="23076"/>
                  <a:stretch>
                    <a:fillRect/>
                  </a:stretch>
                </pic:blipFill>
                <pic:spPr>
                  <a:xfrm>
                    <a:off x="0" y="0"/>
                    <a:ext cx="5687595" cy="604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pos="4819"/>
        <w:tab w:val="right" w:pos="9638"/>
      </w:tabs>
      <w:spacing w:after="0" w:lineRule="auto"/>
      <w:jc w:val="right"/>
      <w:rPr>
        <w:rFonts w:ascii="Garamond" w:cs="Garamond" w:eastAsia="Garamond" w:hAnsi="Garamond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76" w:lineRule="auto"/>
      <w:ind w:left="0" w:right="0" w:firstLine="0"/>
      <w:jc w:val="both"/>
      <w:rPr>
        <w:rFonts w:ascii="Titillium" w:cs="Titillium" w:eastAsia="Titillium" w:hAnsi="Titillium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1" w:firstLine="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1" w:firstLine="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keepNext w:val="1"/>
        <w:widowControl w:val="0"/>
        <w:spacing w:after="12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</w:pBdr>
      <w:suppressAutoHyphens w:val="1"/>
      <w:spacing w:after="120" w:line="100" w:lineRule="atLeast"/>
      <w:jc w:val="both"/>
    </w:pPr>
    <w:rPr>
      <w:rFonts w:ascii="Times New Roman" w:cs="Cambria" w:eastAsia="Times New Roman" w:hAnsi="Times New Roman"/>
      <w:sz w:val="24"/>
      <w:szCs w:val="24"/>
      <w:lang w:eastAsia="ar-SA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styleId="TestonotaapidipaginaCarattere" w:customStyle="1">
    <w:name w:val="Testo nota a piè di pagina Carattere"/>
    <w:basedOn w:val="Carpredefinitoparagrafo"/>
    <w:rPr>
      <w:rFonts w:ascii="Times New Roman" w:cs="Cambria" w:eastAsia="Times New Roman" w:hAnsi="Times New Roman"/>
      <w:sz w:val="20"/>
      <w:szCs w:val="20"/>
      <w:lang w:eastAsia="ar-SA"/>
    </w:rPr>
  </w:style>
  <w:style w:type="character" w:styleId="TestonotaapidipaginaCarattere1" w:customStyle="1">
    <w:name w:val="Testo nota a piè di pagina Carattere1"/>
    <w:basedOn w:val="Carpredefinitoparagrafo"/>
    <w:rPr>
      <w:rFonts w:ascii="Times New Roman" w:cs="Cambria" w:eastAsia="Times New Roman" w:hAnsi="Times New Roman"/>
      <w:sz w:val="24"/>
      <w:szCs w:val="24"/>
      <w:lang w:eastAsia="ar-SA"/>
    </w:rPr>
  </w:style>
  <w:style w:type="character" w:styleId="TestonormaleCarattere" w:customStyle="1">
    <w:name w:val="Testo normale Carattere"/>
    <w:basedOn w:val="Carpredefinitoparagrafo"/>
    <w:rPr>
      <w:rFonts w:ascii="Calibri" w:hAnsi="Calibri"/>
      <w:szCs w:val="21"/>
    </w:rPr>
  </w:style>
  <w:style w:type="character" w:styleId="IntestazioneCarattere" w:customStyle="1">
    <w:name w:val="Intestazione Carattere"/>
    <w:basedOn w:val="Carpredefinitoparagrafo"/>
    <w:rPr>
      <w:rFonts w:ascii="Times New Roman" w:cs="Cambria" w:eastAsia="Times New Roman" w:hAnsi="Times New Roman"/>
      <w:sz w:val="24"/>
      <w:szCs w:val="24"/>
      <w:lang w:eastAsia="ar-SA"/>
    </w:rPr>
  </w:style>
  <w:style w:type="character" w:styleId="PidipaginaCarattere" w:customStyle="1">
    <w:name w:val="Piè di pagina Carattere"/>
    <w:basedOn w:val="Carpredefinitoparagrafo"/>
    <w:rPr>
      <w:rFonts w:ascii="Times New Roman" w:cs="Cambria" w:eastAsia="Times New Roman" w:hAnsi="Times New Roman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styleId="TestocommentoCarattere" w:customStyle="1">
    <w:name w:val="Testo commento Carattere"/>
    <w:basedOn w:val="Carpredefinitoparagrafo"/>
    <w:rPr>
      <w:rFonts w:ascii="Times New Roman" w:cs="Cambria" w:eastAsia="Times New Roman" w:hAnsi="Times New Roman"/>
      <w:sz w:val="20"/>
      <w:szCs w:val="20"/>
      <w:lang w:eastAsia="ar-SA"/>
    </w:rPr>
  </w:style>
  <w:style w:type="character" w:styleId="SoggettocommentoCarattere" w:customStyle="1">
    <w:name w:val="Soggetto commento Carattere"/>
    <w:basedOn w:val="TestocommentoCarattere"/>
    <w:rPr>
      <w:rFonts w:ascii="Times New Roman" w:cs="Cambria" w:eastAsia="Times New Roman" w:hAnsi="Times New Roman"/>
      <w:b w:val="1"/>
      <w:bCs w:val="1"/>
      <w:sz w:val="20"/>
      <w:szCs w:val="20"/>
      <w:lang w:eastAsia="ar-SA"/>
    </w:rPr>
  </w:style>
  <w:style w:type="character" w:styleId="TestofumettoCarattere" w:customStyle="1">
    <w:name w:val="Testo fumetto Carattere"/>
    <w:basedOn w:val="Carpredefinitoparagrafo"/>
    <w:rPr>
      <w:rFonts w:ascii="Tahoma" w:cs="Tahoma" w:eastAsia="Times New Roman" w:hAnsi="Tahoma"/>
      <w:sz w:val="16"/>
      <w:szCs w:val="16"/>
      <w:lang w:eastAsia="ar-SA"/>
    </w:rPr>
  </w:style>
  <w:style w:type="character" w:styleId="Caratteredellanota" w:customStyle="1">
    <w:name w:val="Carattere della nota"/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enotadichiusura" w:customStyle="1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 w:val="1"/>
    <w:pPr>
      <w:ind w:left="357" w:hanging="357"/>
    </w:pPr>
  </w:style>
  <w:style w:type="paragraph" w:styleId="Testonormale">
    <w:name w:val="Plain Text"/>
    <w:basedOn w:val="Normale"/>
    <w:pPr>
      <w:widowControl w:val="1"/>
      <w:spacing w:after="0"/>
      <w:jc w:val="left"/>
    </w:pPr>
    <w:rPr>
      <w:rFonts w:ascii="Calibri" w:cs="Times New Roman" w:eastAsia="Calibri" w:hAnsi="Calibri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 w:val="1"/>
      <w:bCs w:val="1"/>
    </w:rPr>
  </w:style>
  <w:style w:type="paragraph" w:styleId="Testofumetto">
    <w:name w:val="Balloon Text"/>
    <w:basedOn w:val="Normale"/>
    <w:pPr>
      <w:spacing w:after="0"/>
    </w:pPr>
    <w:rPr>
      <w:rFonts w:ascii="Tahoma" w:cs="Tahoma" w:hAnsi="Tahoma"/>
      <w:sz w:val="16"/>
      <w:szCs w:val="16"/>
    </w:rPr>
  </w:style>
  <w:style w:type="paragraph" w:styleId="Notaapidipagina" w:customStyle="1">
    <w:name w:val="Nota a piè di pagina"/>
    <w:basedOn w:val="Normale"/>
    <w:pPr>
      <w:suppressLineNumbers w:val="1"/>
      <w:ind w:left="339" w:hanging="339"/>
    </w:pPr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Garamond-regular.ttf"/><Relationship Id="rId6" Type="http://schemas.openxmlformats.org/officeDocument/2006/relationships/font" Target="fonts/Garamond-bold.ttf"/><Relationship Id="rId7" Type="http://schemas.openxmlformats.org/officeDocument/2006/relationships/font" Target="fonts/Garamond-italic.ttf"/><Relationship Id="rId8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zznB7LbGKHuN0KfbfIzx421pPA==">AMUW2mWICZetnrey8DuLtIzLrGW8t5vc7Dg2lW91ez/jpgn3/tiHV+SoMpYda/AuW+5nywTqduwOV9XSxT3qSDo/5eHHh4ZA3ZRB2Zwiry3FYEEDrZKe57fWDr2JJrW7B9nP6l0oKtpw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2018-03-01T16:18:00Z</dcterms:created>
  <dc:creator>Rossella Picicci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